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QUINCE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001-38890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90-1024039</w:t>
            </w:r>
          </w:p>
        </w:tc>
      </w:tr>
      <w:tr>
        <w:trPr>
          <w:trHeight w:val="148"/>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601 Gateway Boulevard , Suite 1250</w:t>
            </w:r>
          </w:p>
        </w:tc>
        <w:tc>
          <w:tcPr>
            <w:tcW w:w="2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23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910-5717</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240.13d-4(c))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QNCX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Annual Meeting of Stockholders of Quince Therapeutics, Inc. (the “Company”) was held online via live webcast on June 11, 2026 (the “Annual Meeting”). At the Annual Meeting, there were present, in person virtually or by proxy, holders of 6,255,339 shares of common stock, or approximately 38.37% of the total outstanding shares eligible to be voted. The final voting results with respect to each proposal presented at the Annual Meeting is set forth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One - Election of Directors</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Company’s stockholders approved the election of one Class I director to the Board of Directors to serve until the 2029 annual meeting of stockholders and until her successor is duly elected and qualified or until her earlier death, resignation, disqualification or removal. The results of such vote were:</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5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38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4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Bray</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2,430,964</w:t>
            </w:r>
          </w:p>
        </w:tc>
        <w:tc>
          <w:tcPr>
            <w:tcW w:w="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216,735</w:t>
            </w:r>
          </w:p>
        </w:tc>
        <w:tc>
          <w:tcPr>
            <w:tcW w:w="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3,607,640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Two - Approval of Amendment to the Certificate of Incorporation to Effect a Reverse Stock Split</w:t>
      </w:r>
    </w:p>
    <w:p>
      <w:pPr>
        <w:spacing w:after="0" w:line="121"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The Company’s stockholders approved the amendment to the Company’s amended and restated certificate of incorporation to effect a reverse stock split of the Company’s issued and outstanding common stock at a ratio ranging from one-for-ten (1-for-10) to one-for-one hundred (1-for-100) with such reverse stock split to be effected at such time and date, if at all, as determined by the Company’s board of directors in its sole discretion. The results of such vote were:</w:t>
      </w:r>
    </w:p>
    <w:p>
      <w:pPr>
        <w:spacing w:after="0" w:line="200"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112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14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96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960" w:type="dxa"/>
            <w:vAlign w:val="bottom"/>
          </w:tcPr>
          <w:p>
            <w:pPr>
              <w:spacing w:after="0"/>
              <w:rPr>
                <w:sz w:val="15"/>
                <w:szCs w:val="15"/>
                <w:color w:val="auto"/>
              </w:rPr>
            </w:pPr>
          </w:p>
        </w:tc>
      </w:tr>
      <w:tr>
        <w:trPr>
          <w:trHeight w:val="209"/>
        </w:trPr>
        <w:tc>
          <w:tcPr>
            <w:tcW w:w="3860" w:type="dxa"/>
            <w:vAlign w:val="bottom"/>
            <w:gridSpan w:val="3"/>
            <w:shd w:val="clear" w:color="auto" w:fill="CCEEFF"/>
          </w:tcPr>
          <w:p>
            <w:pPr>
              <w:jc w:val="right"/>
              <w:ind w:right="2080"/>
              <w:spacing w:after="0"/>
              <w:rPr>
                <w:sz w:val="20"/>
                <w:szCs w:val="20"/>
                <w:color w:val="auto"/>
              </w:rPr>
            </w:pPr>
            <w:r>
              <w:rPr>
                <w:rFonts w:ascii="Times New Roman" w:cs="Times New Roman" w:eastAsia="Times New Roman" w:hAnsi="Times New Roman"/>
                <w:sz w:val="18"/>
                <w:szCs w:val="18"/>
                <w:color w:val="auto"/>
              </w:rPr>
              <w:t>4,715,574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1,517,896</w:t>
            </w:r>
          </w:p>
        </w:tc>
        <w:tc>
          <w:tcPr>
            <w:tcW w:w="27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21,866</w:t>
            </w:r>
          </w:p>
        </w:tc>
        <w:tc>
          <w:tcPr>
            <w:tcW w:w="96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Three - Ratification of Selection of Independent Registered Accounting Firm</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of BDO USA, P.C. as the Company’s independent registered accounting firm for the fiscal year ending December 31, 2026. The results of such vote were:</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112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14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96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960" w:type="dxa"/>
            <w:vAlign w:val="bottom"/>
          </w:tcPr>
          <w:p>
            <w:pPr>
              <w:spacing w:after="0"/>
              <w:rPr>
                <w:sz w:val="15"/>
                <w:szCs w:val="15"/>
                <w:color w:val="auto"/>
              </w:rPr>
            </w:pPr>
          </w:p>
        </w:tc>
      </w:tr>
      <w:tr>
        <w:trPr>
          <w:trHeight w:val="209"/>
        </w:trPr>
        <w:tc>
          <w:tcPr>
            <w:tcW w:w="3860" w:type="dxa"/>
            <w:vAlign w:val="bottom"/>
            <w:gridSpan w:val="3"/>
            <w:shd w:val="clear" w:color="auto" w:fill="CCEEFF"/>
          </w:tcPr>
          <w:p>
            <w:pPr>
              <w:jc w:val="right"/>
              <w:ind w:right="2080"/>
              <w:spacing w:after="0"/>
              <w:rPr>
                <w:sz w:val="20"/>
                <w:szCs w:val="20"/>
                <w:color w:val="auto"/>
              </w:rPr>
            </w:pPr>
            <w:r>
              <w:rPr>
                <w:rFonts w:ascii="Times New Roman" w:cs="Times New Roman" w:eastAsia="Times New Roman" w:hAnsi="Times New Roman"/>
                <w:sz w:val="18"/>
                <w:szCs w:val="18"/>
                <w:color w:val="auto"/>
              </w:rPr>
              <w:t>6,080,608</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111,522</w:t>
            </w:r>
          </w:p>
        </w:tc>
        <w:tc>
          <w:tcPr>
            <w:tcW w:w="27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63,207</w:t>
            </w:r>
          </w:p>
        </w:tc>
        <w:tc>
          <w:tcPr>
            <w:tcW w:w="96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Four - Approval, on an advisory basis, of the compensation of the Company’s named executive officers</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of the Company’s named executive officers, as disclosed in the proxy statement. The results of such vote were:</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2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18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3100" w:type="dxa"/>
            <w:vAlign w:val="bottom"/>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22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2,504,778</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116,876</w:t>
            </w:r>
          </w:p>
        </w:tc>
        <w:tc>
          <w:tcPr>
            <w:tcW w:w="15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26,044</w:t>
            </w:r>
          </w:p>
        </w:tc>
        <w:tc>
          <w:tcPr>
            <w:tcW w:w="2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3,607,641</w:t>
            </w:r>
          </w:p>
        </w:tc>
        <w:tc>
          <w:tcPr>
            <w:tcW w:w="58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Five – Adjournment of Annual Meeting</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adjournment or postponement of the Annual Meeting to a later date or dates, if necessary, to permit further solicitation and vote of proxies in favor of the foregoing proposals. The results of such vote were:</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11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100" w:type="dxa"/>
            <w:vAlign w:val="bottom"/>
          </w:tcPr>
          <w:p>
            <w:pPr>
              <w:spacing w:after="0"/>
              <w:rPr>
                <w:sz w:val="15"/>
                <w:szCs w:val="15"/>
                <w:color w:val="auto"/>
              </w:rPr>
            </w:pPr>
          </w:p>
        </w:tc>
        <w:tc>
          <w:tcPr>
            <w:tcW w:w="384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70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9"/>
        </w:trPr>
        <w:tc>
          <w:tcPr>
            <w:tcW w:w="2820" w:type="dxa"/>
            <w:vAlign w:val="bottom"/>
            <w:gridSpan w:val="3"/>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5,236,032</w:t>
            </w: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987,376</w:t>
            </w:r>
          </w:p>
        </w:tc>
        <w:tc>
          <w:tcPr>
            <w:tcW w:w="19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31,929</w:t>
            </w:r>
          </w:p>
        </w:tc>
        <w:tc>
          <w:tcPr>
            <w:tcW w:w="960" w:type="dxa"/>
            <w:vAlign w:val="bottom"/>
            <w:shd w:val="clear" w:color="auto" w:fill="CCEEFF"/>
          </w:tcPr>
          <w:p>
            <w:pPr>
              <w:spacing w:after="0"/>
              <w:rPr>
                <w:sz w:val="18"/>
                <w:szCs w:val="18"/>
                <w:color w:val="auto"/>
              </w:rPr>
            </w:pPr>
          </w:p>
        </w:tc>
      </w:tr>
    </w:tbl>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QUINCE THERAPEUTICS, INC.</w:t>
            </w:r>
          </w:p>
        </w:tc>
      </w:tr>
      <w:tr>
        <w:trPr>
          <w:trHeight w:val="432"/>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Dirk Thye</w:t>
            </w:r>
          </w:p>
        </w:tc>
      </w:tr>
      <w:tr>
        <w:trPr>
          <w:trHeight w:val="205"/>
        </w:trPr>
        <w:tc>
          <w:tcPr>
            <w:tcW w:w="3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June 11, 2026</w:t>
            </w: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Dirk Thye</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Chief Medical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2026-06-11T16:18:58Z</dcterms:created>
  <dcterms:modified xsi:type="dcterms:W3CDTF">2026-06-11T16:18:58Z</dcterms:modified>
</cp:coreProperties>
</file>