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0001662774</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Cortexyme,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Quince 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CALIFORNIA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Name of Issuer</w:t>
            </w:r>
          </w:p>
        </w:tc>
        <w:tc>
          <w:tcPr>
            <w:tcW w:w="2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Quince Therapeutics, Inc.</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Street Address 1</w:t>
            </w:r>
          </w:p>
        </w:tc>
        <w:tc>
          <w:tcPr>
            <w:tcW w:w="23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City</w:t>
            </w:r>
          </w:p>
        </w:tc>
        <w:tc>
          <w:tcPr>
            <w:tcW w:w="238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415-910-5717</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Thye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Dirk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Roberts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Brigette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Ryan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Charles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Hannah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Brendan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Senner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Christopher</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June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2">
            <w:col w:w="3560" w:space="520"/>
            <w:col w:w="7160"/>
          </w:cols>
          <w:pgMar w:left="320" w:top="302" w:right="339" w:bottom="0" w:gutter="0" w:footer="0" w:header="0"/>
          <w:type w:val="continuous"/>
        </w:sectPr>
      </w:pPr>
    </w:p>
    <w:bookmarkStart w:id="2" w:name="page3"/>
    <w:bookmarkEnd w:id="2"/>
    <w:p>
      <w:pPr>
        <w:ind w:left="4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488950</wp:posOffset>
            </wp:positionH>
            <wp:positionV relativeFrom="page">
              <wp:posOffset>112395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2026-05-18</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-1732280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-1732280</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-1569720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-1569720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-1406525</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-1406525</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-1183640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-1183640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-472440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-472440</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The Issuer issued 2,210,899 shares of common stock, 52,153.299 shares of preferred stock, and warrants to purchase up to 7,410.644 shares of preferred stock in connection with its acquisition of Orphai Technologies,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LifeSci Capital</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000168404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1700 Broadway, 40th Floor</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-1217930</wp:posOffset>
            </wp:positionV>
            <wp:extent cx="1289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-832485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-832485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9"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9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NEW YORK</w:t>
            </w:r>
          </w:p>
        </w:tc>
        <w:tc>
          <w:tcPr>
            <w:tcW w:w="298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354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40" w:type="dxa"/>
            <w:vAlign w:val="bottom"/>
            <w:gridSpan w:val="3"/>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800" w:type="dxa"/>
            <w:vAlign w:val="bottom"/>
            <w:vMerge w:val="continue"/>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4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80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280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40" w:type="dxa"/>
            <w:vAlign w:val="bottom"/>
            <w:tcBorders>
              <w:bottom w:val="single" w:sz="8" w:color="9A9A9A"/>
            </w:tcBorders>
            <w:gridSpan w:val="2"/>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2800" w:type="dxa"/>
            <w:vAlign w:val="bottom"/>
            <w:tcBorders>
              <w:bottom w:val="single" w:sz="8" w:color="9A9A9A"/>
            </w:tcBorders>
          </w:tcPr>
          <w:p>
            <w:pPr>
              <w:spacing w:after="0"/>
              <w:rPr>
                <w:sz w:val="20"/>
                <w:szCs w:val="20"/>
                <w:color w:val="auto"/>
              </w:rPr>
            </w:pPr>
          </w:p>
        </w:tc>
        <w:tc>
          <w:tcPr>
            <w:tcW w:w="29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40" w:type="dxa"/>
            <w:vAlign w:val="bottom"/>
            <w:tcBorders>
              <w:bottom w:val="single" w:sz="8" w:color="808080"/>
            </w:tcBorders>
            <w:gridSpan w:val="2"/>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29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5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80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7,387,671</w:t>
            </w:r>
          </w:p>
        </w:tc>
        <w:tc>
          <w:tcPr>
            <w:tcW w:w="5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060" w:type="dxa"/>
            <w:vAlign w:val="bottom"/>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500" w:type="dxa"/>
            <w:vAlign w:val="bottom"/>
          </w:tcPr>
          <w:p>
            <w:pPr>
              <w:ind w:left="40"/>
              <w:spacing w:after="0"/>
              <w:rPr>
                <w:sz w:val="20"/>
                <w:szCs w:val="20"/>
                <w:color w:val="auto"/>
              </w:rPr>
            </w:pPr>
            <w:r>
              <w:rPr>
                <w:rFonts w:ascii="Arial" w:cs="Arial" w:eastAsia="Arial" w:hAnsi="Arial"/>
                <w:sz w:val="18"/>
                <w:szCs w:val="18"/>
                <w:color w:val="auto"/>
              </w:rPr>
              <w:t>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7,387,671</w:t>
            </w:r>
          </w:p>
        </w:tc>
        <w:tc>
          <w:tcPr>
            <w:tcW w:w="500" w:type="dxa"/>
            <w:vAlign w:val="bottom"/>
          </w:tcPr>
          <w:p>
            <w:pPr>
              <w:spacing w:after="0"/>
              <w:rPr>
                <w:sz w:val="6"/>
                <w:szCs w:val="6"/>
                <w:color w:val="auto"/>
              </w:rPr>
            </w:pPr>
          </w:p>
        </w:tc>
        <w:tc>
          <w:tcPr>
            <w:tcW w:w="3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500" w:type="dxa"/>
            <w:vAlign w:val="bottom"/>
          </w:tcPr>
          <w:p>
            <w:pPr>
              <w:ind w:left="40"/>
              <w:spacing w:after="0" w:line="196" w:lineRule="exact"/>
              <w:rPr>
                <w:sz w:val="20"/>
                <w:szCs w:val="20"/>
                <w:color w:val="auto"/>
              </w:rPr>
            </w:pPr>
            <w:r>
              <w:rPr>
                <w:rFonts w:ascii="Arial" w:cs="Arial" w:eastAsia="Arial" w:hAnsi="Arial"/>
                <w:sz w:val="18"/>
                <w:szCs w:val="18"/>
                <w:color w:val="auto"/>
              </w:rPr>
              <w:t>USD</w:t>
            </w: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-1313180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-1313180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Offering amount includes aggregate gross proceeds that may be received in the future upon the cash exercise in full of the warrants.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1,800,000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06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08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82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0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Quince Therapeutics, Inc.</w:t>
            </w: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Dirk Thye</w:t>
            </w: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Dirk Thye</w:t>
            </w:r>
          </w:p>
        </w:tc>
        <w:tc>
          <w:tcPr>
            <w:tcW w:w="40" w:type="dxa"/>
            <w:vAlign w:val="bottom"/>
          </w:tcPr>
          <w:p>
            <w:pPr>
              <w:spacing w:after="0"/>
              <w:rPr>
                <w:sz w:val="20"/>
                <w:szCs w:val="20"/>
                <w:color w:val="auto"/>
              </w:rPr>
            </w:pPr>
          </w:p>
        </w:tc>
        <w:tc>
          <w:tcPr>
            <w:tcW w:w="28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2026-06-11</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ectPr>
          <w:pgSz w:w="11900" w:h="16838" w:orient="portrait"/>
          <w:cols w:equalWidth="0" w:num="1">
            <w:col w:w="11240"/>
          </w:cols>
          <w:pgMar w:left="320" w:top="125" w:right="339" w:bottom="150" w:gutter="0" w:footer="0" w:header="0"/>
        </w:sectPr>
      </w:pPr>
    </w:p>
    <w:bookmarkStart w:id="4" w:name="page5"/>
    <w:bookmarkEnd w:id="4"/>
    <w:p>
      <w:pPr>
        <w:ind w:right="38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8" w:lineRule="exact"/>
        <w:rPr>
          <w:sz w:val="20"/>
          <w:szCs w:val="20"/>
          <w:color w:val="auto"/>
        </w:rPr>
      </w:pPr>
    </w:p>
    <w:p>
      <w:pPr>
        <w:ind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9" Type="http://schemas.openxmlformats.org/officeDocument/2006/relationships/hyperlink" Target="http://www.sec.gov/cgi-bin/browse-edgar?action=getcompany&amp;CIK=00016627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2026-06-11T11:03:03Z</dcterms:created>
  <dcterms:modified xsi:type="dcterms:W3CDTF">2026-06-11T11:03:03Z</dcterms:modified>
</cp:coreProperties>
</file>