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Quince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1,403,580.00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1,403,580.00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1,403,580.00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1,403,697.00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1,403,697.00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1,403,697.00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1,403,697.00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1,403,697.00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1,403,697.00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1,403,697.00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1,403,697.00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1,403,697.00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Quince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273,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The percent of class was calculated based on 19,559,257 shares of Common Stock outstanding, which is the sum of (i) 16,300,740 shares of Common Stock outstanding as of May 4, 2026, as reported in the issuer's Form 10-Q filed with the SEC on May 11, 2026, and (ii) 3,258,517 shares of Common Stock issued in connection with the acquisition of Orphai Therapeutics, LLC, as reported in the issuer's Form 8-K filed with the SEC on May 18, 2026.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06/09/2026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June 9,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17513d1_ex-1.htm"/>
      <w:bookmarkStart w:id="29" w:name="kstm2617513d1_ex1"/>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Quince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9,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424"/>
        <w:gridCol w:w="3405"/>
        <w:gridCol w:w="75"/>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INTEGRATED CORE STRATEGIES (US)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Integrated Holding Group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 xml:space="preserve">Title: Global General Counsel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1717</Words>
  <Characters>8935</Characters>
  <CharactersWithSpaces>10647</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